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 w:beforeLines="20" w:after="62" w:afterLines="20" w:line="400" w:lineRule="exact"/>
        <w:ind w:right="105" w:firstLine="708"/>
        <w:jc w:val="center"/>
        <w:rPr>
          <w:rFonts w:ascii="黑体" w:hAnsi="宋体" w:eastAsia="黑体"/>
          <w:sz w:val="32"/>
          <w:szCs w:val="32"/>
        </w:rPr>
      </w:pPr>
      <w:r>
        <w:rPr>
          <w:rFonts w:hint="eastAsia" w:ascii="黑体" w:hAnsi="宋体" w:eastAsia="黑体" w:cs="黑体"/>
          <w:sz w:val="32"/>
          <w:szCs w:val="32"/>
        </w:rPr>
        <w:t>不动产估价委托合同</w:t>
      </w:r>
    </w:p>
    <w:p>
      <w:pPr>
        <w:spacing w:before="62" w:beforeLines="20" w:after="62" w:afterLines="20" w:line="400" w:lineRule="exact"/>
        <w:jc w:val="right"/>
        <w:rPr>
          <w:rFonts w:ascii="黑体" w:hAnsi="宋体" w:eastAsia="黑体"/>
        </w:rPr>
      </w:pPr>
      <w:r>
        <w:rPr>
          <w:rFonts w:hint="eastAsia" w:ascii="黑体" w:hAnsi="宋体" w:eastAsia="黑体" w:cs="黑体"/>
        </w:rPr>
        <w:t>康正合字</w:t>
      </w:r>
      <w:r>
        <w:rPr>
          <w:rFonts w:ascii="黑体" w:hAnsi="宋体" w:eastAsia="黑体" w:cs="黑体"/>
        </w:rPr>
        <w:t>[20</w:t>
      </w:r>
      <w:r>
        <w:rPr>
          <w:rFonts w:hint="eastAsia" w:ascii="黑体" w:hAnsi="宋体" w:eastAsia="黑体" w:cs="黑体"/>
        </w:rPr>
        <w:t>2</w:t>
      </w:r>
      <w:r>
        <w:rPr>
          <w:rFonts w:ascii="黑体" w:hAnsi="宋体" w:eastAsia="黑体" w:cs="黑体"/>
        </w:rPr>
        <w:t xml:space="preserve">  ]    </w:t>
      </w:r>
      <w:r>
        <w:rPr>
          <w:rFonts w:hint="eastAsia" w:ascii="黑体" w:hAnsi="宋体" w:eastAsia="黑体" w:cs="黑体"/>
        </w:rPr>
        <w:t>号</w:t>
      </w:r>
    </w:p>
    <w:p>
      <w:pPr>
        <w:tabs>
          <w:tab w:val="left" w:pos="7560"/>
        </w:tabs>
        <w:spacing w:before="62" w:beforeLines="20" w:after="62" w:afterLines="20" w:line="480" w:lineRule="auto"/>
        <w:ind w:firstLine="482" w:firstLineChars="200"/>
        <w:rPr>
          <w:rFonts w:ascii="宋体" w:cs="宋体"/>
          <w:b/>
          <w:bCs/>
          <w:sz w:val="24"/>
          <w:szCs w:val="24"/>
        </w:rPr>
      </w:pPr>
    </w:p>
    <w:p>
      <w:pPr>
        <w:tabs>
          <w:tab w:val="left" w:pos="7560"/>
        </w:tabs>
        <w:spacing w:before="62" w:beforeLines="20" w:after="62" w:afterLines="20" w:line="360" w:lineRule="auto"/>
        <w:ind w:firstLine="482" w:firstLineChars="200"/>
        <w:rPr>
          <w:rFonts w:ascii="宋体"/>
          <w:sz w:val="24"/>
          <w:szCs w:val="24"/>
          <w:u w:val="single"/>
        </w:rPr>
      </w:pPr>
      <w:r>
        <w:rPr>
          <w:rFonts w:hint="eastAsia" w:ascii="宋体" w:hAnsi="宋体" w:cs="宋体"/>
          <w:b/>
          <w:bCs/>
          <w:sz w:val="24"/>
          <w:szCs w:val="24"/>
        </w:rPr>
        <w:t>甲方（委托方）</w:t>
      </w:r>
      <w:r>
        <w:rPr>
          <w:rFonts w:hint="eastAsia" w:ascii="宋体" w:hAnsi="宋体" w:cs="宋体"/>
          <w:sz w:val="24"/>
          <w:szCs w:val="24"/>
        </w:rPr>
        <w:t>：</w:t>
      </w:r>
      <w:r>
        <w:rPr>
          <w:rFonts w:hint="eastAsia" w:ascii="宋体" w:hAnsi="宋体" w:cs="宋体"/>
          <w:b/>
          <w:bCs/>
          <w:sz w:val="24"/>
          <w:szCs w:val="24"/>
          <w:u w:val="single"/>
        </w:rPr>
        <w:t>中国农业银行股份有限公司北京朝阳东区支行</w:t>
      </w:r>
    </w:p>
    <w:p>
      <w:pPr>
        <w:spacing w:before="62" w:beforeLines="20" w:after="62" w:afterLines="20" w:line="360" w:lineRule="auto"/>
        <w:ind w:firstLine="482" w:firstLineChars="200"/>
        <w:rPr>
          <w:rFonts w:ascii="宋体"/>
          <w:b/>
          <w:bCs/>
          <w:sz w:val="24"/>
          <w:szCs w:val="24"/>
          <w:u w:val="single"/>
        </w:rPr>
      </w:pPr>
      <w:r>
        <w:rPr>
          <w:rFonts w:hint="eastAsia" w:ascii="宋体" w:hAnsi="宋体" w:cs="宋体"/>
          <w:b/>
          <w:bCs/>
          <w:sz w:val="24"/>
          <w:szCs w:val="24"/>
        </w:rPr>
        <w:t>乙方（受托方）</w:t>
      </w:r>
      <w:r>
        <w:rPr>
          <w:rFonts w:hint="eastAsia" w:ascii="宋体" w:hAnsi="宋体" w:cs="宋体"/>
          <w:sz w:val="24"/>
          <w:szCs w:val="24"/>
        </w:rPr>
        <w:t>：</w:t>
      </w:r>
      <w:r>
        <w:rPr>
          <w:rFonts w:hint="eastAsia" w:ascii="宋体" w:hAnsi="宋体" w:cs="宋体"/>
          <w:b/>
          <w:bCs/>
          <w:sz w:val="24"/>
          <w:szCs w:val="24"/>
          <w:u w:val="single"/>
        </w:rPr>
        <w:t>北京康正宏基房地产评估有限公司</w:t>
      </w:r>
    </w:p>
    <w:p>
      <w:pPr>
        <w:spacing w:line="360" w:lineRule="auto"/>
        <w:ind w:firstLine="480" w:firstLineChars="200"/>
        <w:rPr>
          <w:rFonts w:ascii="宋体"/>
          <w:sz w:val="24"/>
          <w:szCs w:val="24"/>
        </w:rPr>
      </w:pPr>
    </w:p>
    <w:p>
      <w:pPr>
        <w:spacing w:line="360" w:lineRule="auto"/>
        <w:ind w:firstLine="480" w:firstLineChars="200"/>
        <w:rPr>
          <w:rFonts w:ascii="宋体"/>
          <w:sz w:val="24"/>
          <w:szCs w:val="24"/>
        </w:rPr>
      </w:pPr>
      <w:r>
        <w:rPr>
          <w:rFonts w:hint="eastAsia" w:ascii="宋体" w:hAnsi="宋体" w:cs="宋体"/>
          <w:sz w:val="24"/>
          <w:szCs w:val="24"/>
        </w:rPr>
        <w:t>依照《中华人民共和国民法典》、《中华人民共和国资产评估法》等法律、行政法规，经双方平等协商，特订立本合同，以资共同信守。</w:t>
      </w:r>
    </w:p>
    <w:p>
      <w:pPr>
        <w:spacing w:line="360" w:lineRule="auto"/>
        <w:ind w:firstLine="480" w:firstLineChars="200"/>
        <w:rPr>
          <w:rFonts w:ascii="宋体"/>
          <w:sz w:val="24"/>
          <w:szCs w:val="24"/>
          <w:u w:val="single"/>
        </w:rPr>
      </w:pPr>
    </w:p>
    <w:p>
      <w:pPr>
        <w:spacing w:after="62" w:afterLines="20" w:line="360" w:lineRule="auto"/>
        <w:ind w:firstLine="482" w:firstLineChars="200"/>
        <w:rPr>
          <w:rFonts w:ascii="宋体"/>
          <w:b/>
          <w:bCs/>
          <w:sz w:val="24"/>
          <w:szCs w:val="24"/>
        </w:rPr>
      </w:pPr>
      <w:r>
        <w:rPr>
          <w:rFonts w:hint="eastAsia" w:ascii="宋体" w:hAnsi="宋体" w:cs="宋体"/>
          <w:b/>
          <w:bCs/>
          <w:sz w:val="24"/>
          <w:szCs w:val="24"/>
        </w:rPr>
        <w:t>一、委托估价项目名称：</w:t>
      </w:r>
      <w:r>
        <w:rPr>
          <w:rFonts w:hint="eastAsia" w:ascii="宋体" w:hAnsi="宋体" w:cs="宋体"/>
          <w:b/>
          <w:sz w:val="24"/>
          <w:szCs w:val="24"/>
          <w:u w:val="single"/>
        </w:rPr>
        <w:t>北京市大兴区旧宫镇DX05-0101-6008地块F81绿隔产业用地出让集体建设用地使用权及在建建筑物房地产</w:t>
      </w:r>
      <w:r>
        <w:rPr>
          <w:rFonts w:hint="eastAsia" w:ascii="宋体" w:hAnsi="宋体" w:cs="宋体"/>
          <w:b/>
          <w:bCs/>
          <w:sz w:val="24"/>
          <w:szCs w:val="24"/>
          <w:u w:val="single"/>
        </w:rPr>
        <w:t>抵押价格评估</w:t>
      </w:r>
    </w:p>
    <w:p>
      <w:pPr>
        <w:spacing w:before="62" w:beforeLines="20" w:after="62" w:afterLines="20" w:line="360" w:lineRule="auto"/>
        <w:ind w:firstLine="482" w:firstLineChars="200"/>
        <w:rPr>
          <w:rFonts w:ascii="宋体"/>
          <w:b/>
          <w:bCs/>
          <w:sz w:val="24"/>
          <w:szCs w:val="24"/>
          <w:u w:val="single"/>
        </w:rPr>
      </w:pPr>
      <w:r>
        <w:rPr>
          <w:rFonts w:hint="eastAsia" w:ascii="宋体" w:hAnsi="宋体" w:cs="宋体"/>
          <w:b/>
          <w:bCs/>
          <w:sz w:val="24"/>
          <w:szCs w:val="24"/>
        </w:rPr>
        <w:t>二、估价目的</w:t>
      </w:r>
      <w:r>
        <w:rPr>
          <w:rFonts w:hint="eastAsia" w:ascii="宋体" w:hAnsi="宋体" w:cs="宋体"/>
          <w:sz w:val="24"/>
          <w:szCs w:val="24"/>
        </w:rPr>
        <w:t>：</w:t>
      </w:r>
      <w:r>
        <w:rPr>
          <w:rFonts w:hint="eastAsia" w:ascii="宋体" w:hAnsi="宋体" w:cs="宋体"/>
          <w:b/>
          <w:bCs/>
          <w:sz w:val="24"/>
          <w:szCs w:val="24"/>
          <w:u w:val="single"/>
        </w:rPr>
        <w:t>为确定标的物之抵押贷款额度提供参考依据而评估的房地产抵押价值</w:t>
      </w:r>
    </w:p>
    <w:p>
      <w:pPr>
        <w:pStyle w:val="12"/>
        <w:spacing w:before="62" w:beforeLines="20" w:after="62" w:afterLines="20" w:line="360" w:lineRule="auto"/>
        <w:ind w:firstLine="482" w:firstLineChars="200"/>
        <w:rPr>
          <w:rFonts w:cs="Times New Roman"/>
        </w:rPr>
      </w:pPr>
      <w:r>
        <w:rPr>
          <w:rFonts w:hint="eastAsia"/>
        </w:rPr>
        <w:t>三、估价对象和估价范围：</w:t>
      </w:r>
      <w:r>
        <w:rPr>
          <w:rFonts w:hint="eastAsia"/>
          <w:u w:val="single"/>
        </w:rPr>
        <w:t>北京市大兴区旧宫镇DX05-0101-6008地块F81绿隔产业用地出让集体建设用地使用权及在建建筑物房地产</w:t>
      </w:r>
    </w:p>
    <w:p>
      <w:pPr>
        <w:spacing w:before="62" w:beforeLines="20" w:after="62" w:afterLines="20" w:line="360" w:lineRule="auto"/>
        <w:ind w:firstLine="482" w:firstLineChars="200"/>
        <w:rPr>
          <w:rFonts w:ascii="宋体"/>
          <w:sz w:val="24"/>
          <w:szCs w:val="24"/>
        </w:rPr>
      </w:pPr>
      <w:r>
        <w:rPr>
          <w:rFonts w:hint="eastAsia" w:ascii="宋体" w:hAnsi="宋体" w:cs="宋体"/>
          <w:b/>
          <w:bCs/>
          <w:sz w:val="24"/>
          <w:szCs w:val="24"/>
        </w:rPr>
        <w:t>四、价值时点：</w:t>
      </w:r>
      <w:r>
        <w:rPr>
          <w:rFonts w:ascii="宋体" w:hAnsi="宋体" w:cs="宋体"/>
          <w:b/>
          <w:bCs/>
          <w:sz w:val="24"/>
          <w:szCs w:val="24"/>
          <w:u w:val="single"/>
        </w:rPr>
        <w:t>20</w:t>
      </w:r>
      <w:r>
        <w:rPr>
          <w:rFonts w:hint="eastAsia" w:ascii="宋体" w:hAnsi="宋体" w:cs="宋体"/>
          <w:b/>
          <w:bCs/>
          <w:sz w:val="24"/>
          <w:szCs w:val="24"/>
          <w:u w:val="single"/>
        </w:rPr>
        <w:t>24</w:t>
      </w:r>
      <w:r>
        <w:rPr>
          <w:rFonts w:hint="eastAsia" w:ascii="宋体" w:hAnsi="宋体" w:cs="宋体"/>
          <w:b/>
          <w:bCs/>
          <w:sz w:val="24"/>
          <w:szCs w:val="24"/>
        </w:rPr>
        <w:t>年</w:t>
      </w:r>
      <w:r>
        <w:rPr>
          <w:rFonts w:ascii="宋体" w:hAnsi="宋体" w:cs="宋体"/>
          <w:b/>
          <w:bCs/>
          <w:sz w:val="24"/>
          <w:szCs w:val="24"/>
        </w:rPr>
        <w:t xml:space="preserve"> </w:t>
      </w:r>
      <w:r>
        <w:rPr>
          <w:rFonts w:hint="eastAsia" w:ascii="宋体" w:hAnsi="宋体" w:cs="宋体"/>
          <w:b/>
          <w:bCs/>
          <w:sz w:val="24"/>
          <w:szCs w:val="24"/>
          <w:u w:val="single"/>
        </w:rPr>
        <w:t>1</w:t>
      </w:r>
      <w:r>
        <w:rPr>
          <w:rFonts w:hint="eastAsia" w:ascii="宋体" w:hAnsi="宋体" w:cs="宋体"/>
          <w:b/>
          <w:bCs/>
          <w:sz w:val="24"/>
          <w:szCs w:val="24"/>
        </w:rPr>
        <w:t>月</w:t>
      </w:r>
      <w:r>
        <w:rPr>
          <w:rFonts w:hint="eastAsia" w:ascii="宋体" w:hAnsi="宋体" w:cs="宋体"/>
          <w:b/>
          <w:bCs/>
          <w:sz w:val="24"/>
          <w:szCs w:val="24"/>
          <w:u w:val="single"/>
        </w:rPr>
        <w:t>2</w:t>
      </w:r>
      <w:r>
        <w:rPr>
          <w:rFonts w:hint="eastAsia" w:ascii="宋体" w:hAnsi="宋体" w:cs="宋体"/>
          <w:b/>
          <w:bCs/>
          <w:sz w:val="24"/>
          <w:szCs w:val="24"/>
        </w:rPr>
        <w:t>日</w:t>
      </w:r>
      <w:r>
        <w:rPr>
          <w:rFonts w:ascii="宋体" w:hAnsi="宋体" w:cs="宋体"/>
          <w:b/>
          <w:bCs/>
          <w:sz w:val="24"/>
          <w:szCs w:val="24"/>
        </w:rPr>
        <w:t xml:space="preserve"> </w:t>
      </w:r>
    </w:p>
    <w:p>
      <w:pPr>
        <w:spacing w:before="62" w:beforeLines="20" w:after="62" w:afterLines="20" w:line="360" w:lineRule="auto"/>
        <w:ind w:firstLine="482" w:firstLineChars="200"/>
        <w:rPr>
          <w:rFonts w:ascii="宋体"/>
          <w:sz w:val="24"/>
          <w:szCs w:val="24"/>
        </w:rPr>
      </w:pPr>
      <w:r>
        <w:rPr>
          <w:rFonts w:hint="eastAsia" w:ascii="宋体" w:hAnsi="宋体" w:cs="宋体"/>
          <w:b/>
          <w:bCs/>
          <w:sz w:val="24"/>
          <w:szCs w:val="24"/>
        </w:rPr>
        <w:t>五、价值类型：</w:t>
      </w:r>
      <w:r>
        <w:rPr>
          <w:rFonts w:hint="eastAsia" w:ascii="宋体" w:hAnsi="宋体" w:cs="宋体"/>
          <w:b/>
          <w:bCs/>
          <w:sz w:val="24"/>
          <w:szCs w:val="24"/>
          <w:u w:val="single"/>
        </w:rPr>
        <w:t>抵押价值</w:t>
      </w:r>
      <w:r>
        <w:rPr>
          <w:rFonts w:ascii="宋体" w:hAnsi="宋体" w:cs="宋体"/>
          <w:b/>
          <w:bCs/>
          <w:sz w:val="24"/>
          <w:szCs w:val="24"/>
          <w:u w:val="single"/>
        </w:rPr>
        <w:t xml:space="preserve"> </w:t>
      </w:r>
    </w:p>
    <w:p>
      <w:pPr>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六、评估业务完成期限</w:t>
      </w:r>
    </w:p>
    <w:p>
      <w:pPr>
        <w:spacing w:before="62" w:beforeLines="20" w:after="62" w:afterLines="20" w:line="360" w:lineRule="auto"/>
        <w:ind w:firstLine="480" w:firstLineChars="200"/>
        <w:rPr>
          <w:rFonts w:ascii="宋体"/>
          <w:sz w:val="24"/>
          <w:szCs w:val="24"/>
        </w:rPr>
      </w:pPr>
      <w:r>
        <w:rPr>
          <w:rFonts w:hint="eastAsia" w:ascii="宋体" w:hAnsi="宋体" w:cs="宋体"/>
          <w:sz w:val="24"/>
          <w:szCs w:val="24"/>
        </w:rPr>
        <w:t>根据不动产估价工作时间安排，甲方应先期准备或指定不动产权利人、此次经济行为相关方提供乙方估价所需的不动产权属证明及其他相关资料，并于</w:t>
      </w:r>
      <w:r>
        <w:rPr>
          <w:rFonts w:ascii="宋体" w:hAnsi="宋体" w:cs="宋体"/>
          <w:sz w:val="24"/>
          <w:szCs w:val="24"/>
        </w:rPr>
        <w:t>__/__</w:t>
      </w:r>
      <w:r>
        <w:rPr>
          <w:rFonts w:hint="eastAsia" w:ascii="宋体" w:hAnsi="宋体" w:cs="宋体"/>
          <w:sz w:val="24"/>
          <w:szCs w:val="24"/>
        </w:rPr>
        <w:t>年</w:t>
      </w:r>
      <w:r>
        <w:rPr>
          <w:rFonts w:ascii="宋体" w:hAnsi="宋体" w:cs="宋体"/>
          <w:sz w:val="24"/>
          <w:szCs w:val="24"/>
        </w:rPr>
        <w:t>__/__</w:t>
      </w:r>
      <w:r>
        <w:rPr>
          <w:rFonts w:hint="eastAsia" w:ascii="宋体" w:hAnsi="宋体" w:cs="宋体"/>
          <w:sz w:val="24"/>
          <w:szCs w:val="24"/>
        </w:rPr>
        <w:t>月</w:t>
      </w:r>
      <w:r>
        <w:rPr>
          <w:rFonts w:ascii="宋体" w:hAnsi="宋体" w:cs="宋体"/>
          <w:sz w:val="24"/>
          <w:szCs w:val="24"/>
        </w:rPr>
        <w:t>__/__</w:t>
      </w:r>
      <w:r>
        <w:rPr>
          <w:rFonts w:hint="eastAsia" w:ascii="宋体" w:hAnsi="宋体" w:cs="宋体"/>
          <w:sz w:val="24"/>
          <w:szCs w:val="24"/>
        </w:rPr>
        <w:t>日以前将上述资料交给乙方。在正常情况下，乙方收到上述应提供的全部资料后，组织评估专业人员在十个工作日内完成甲方委托的评估工作，并向甲方提交《不动产估价报告书》。若甲方（含其指定不动产权利人、此次经济行为相关方）不能及时提供资料，乙方可以顺延提交报告的时间。</w:t>
      </w: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七、评估服务费及支付方式</w:t>
      </w:r>
    </w:p>
    <w:p>
      <w:pPr>
        <w:tabs>
          <w:tab w:val="left" w:pos="720"/>
        </w:tabs>
        <w:spacing w:before="62" w:beforeLines="20" w:after="62" w:afterLines="20" w:line="360" w:lineRule="auto"/>
        <w:ind w:firstLine="480" w:firstLineChars="200"/>
        <w:rPr>
          <w:rFonts w:ascii="宋体" w:hAnsi="宋体" w:cs="宋体"/>
          <w:sz w:val="24"/>
          <w:szCs w:val="24"/>
        </w:rPr>
      </w:pPr>
      <w:r>
        <w:rPr>
          <w:rFonts w:ascii="宋体" w:hAnsi="宋体" w:cs="宋体"/>
          <w:sz w:val="24"/>
          <w:szCs w:val="24"/>
        </w:rPr>
        <w:t>1.</w:t>
      </w:r>
      <w:r>
        <w:rPr>
          <w:sz w:val="24"/>
          <w:szCs w:val="24"/>
        </w:rPr>
        <w:t xml:space="preserve"> </w:t>
      </w:r>
      <w:r>
        <w:rPr>
          <w:rFonts w:hint="eastAsia" w:ascii="宋体" w:hAnsi="宋体" w:cs="宋体"/>
          <w:sz w:val="24"/>
          <w:szCs w:val="24"/>
        </w:rPr>
        <w:t>参考原国家计委、建设部发布的《国家计委、建设部关于房地产中介服务收费的通知》（计价格第</w:t>
      </w:r>
      <w:r>
        <w:rPr>
          <w:rFonts w:ascii="宋体" w:hAnsi="宋体" w:cs="宋体"/>
          <w:sz w:val="24"/>
          <w:szCs w:val="24"/>
        </w:rPr>
        <w:t>971</w:t>
      </w:r>
      <w:r>
        <w:rPr>
          <w:rFonts w:hint="eastAsia" w:ascii="宋体" w:hAnsi="宋体" w:cs="宋体"/>
          <w:sz w:val="24"/>
          <w:szCs w:val="24"/>
        </w:rPr>
        <w:t>号）相关规定、此次评估的特定目的及本项目评估工作的繁简程度，甲乙双方协商本次估价服务费合计为人民币</w:t>
      </w:r>
      <w:r>
        <w:rPr>
          <w:rFonts w:ascii="宋体" w:hAnsi="宋体" w:cs="宋体"/>
          <w:sz w:val="24"/>
          <w:szCs w:val="24"/>
          <w:u w:val="single"/>
        </w:rPr>
        <w:t xml:space="preserve"> </w:t>
      </w:r>
      <w:r>
        <w:rPr>
          <w:rFonts w:hint="eastAsia" w:ascii="宋体" w:hAnsi="宋体" w:cs="宋体"/>
          <w:sz w:val="24"/>
          <w:szCs w:val="24"/>
          <w:u w:val="single"/>
        </w:rPr>
        <w:t>2.2</w:t>
      </w:r>
      <w:r>
        <w:rPr>
          <w:rFonts w:ascii="宋体" w:hAnsi="宋体" w:cs="宋体"/>
          <w:sz w:val="24"/>
          <w:szCs w:val="24"/>
          <w:u w:val="single"/>
        </w:rPr>
        <w:t xml:space="preserve"> </w:t>
      </w:r>
      <w:r>
        <w:rPr>
          <w:rFonts w:hint="eastAsia" w:ascii="宋体" w:hAnsi="宋体" w:cs="宋体"/>
          <w:sz w:val="24"/>
          <w:szCs w:val="24"/>
        </w:rPr>
        <w:t>万元（大写人民币贰万贰仟元整）。差旅费用（包括乙方人员往来估价对象不动产所在地），由乙方支付，乙方工作人员在估价对象不动产所在地食宿、交通、必要的办公场所通讯费用由</w:t>
      </w:r>
      <w:r>
        <w:rPr>
          <w:rFonts w:ascii="宋体" w:hAnsi="宋体" w:cs="宋体"/>
          <w:sz w:val="24"/>
          <w:szCs w:val="24"/>
          <w:u w:val="single"/>
        </w:rPr>
        <w:t xml:space="preserve"> </w:t>
      </w:r>
      <w:r>
        <w:rPr>
          <w:rFonts w:hint="eastAsia" w:ascii="宋体" w:hAnsi="宋体" w:cs="宋体"/>
          <w:sz w:val="24"/>
          <w:szCs w:val="24"/>
          <w:u w:val="single"/>
        </w:rPr>
        <w:t xml:space="preserve">乙 </w:t>
      </w:r>
      <w:r>
        <w:rPr>
          <w:rFonts w:hint="eastAsia" w:ascii="宋体" w:hAnsi="宋体" w:cs="宋体"/>
          <w:sz w:val="24"/>
          <w:szCs w:val="24"/>
        </w:rPr>
        <w:t>支付。</w:t>
      </w:r>
    </w:p>
    <w:p>
      <w:pPr>
        <w:tabs>
          <w:tab w:val="left" w:pos="720"/>
        </w:tabs>
        <w:spacing w:before="62" w:beforeLines="20" w:after="62" w:afterLines="20" w:line="360" w:lineRule="auto"/>
        <w:ind w:firstLine="480" w:firstLineChars="200"/>
        <w:rPr>
          <w:rFonts w:ascii="宋体" w:hAnsi="宋体" w:cs="宋体"/>
          <w:sz w:val="24"/>
          <w:szCs w:val="24"/>
        </w:rPr>
      </w:pPr>
      <w:r>
        <w:rPr>
          <w:rFonts w:ascii="宋体" w:hAnsi="宋体" w:cs="宋体"/>
          <w:sz w:val="24"/>
          <w:szCs w:val="24"/>
        </w:rPr>
        <w:t>2.</w:t>
      </w:r>
      <w:r>
        <w:rPr>
          <w:rFonts w:hint="eastAsia" w:ascii="宋体" w:hAnsi="宋体" w:cs="宋体"/>
          <w:sz w:val="24"/>
          <w:szCs w:val="24"/>
        </w:rPr>
        <w:t>支付方式：本合同经双方签章后</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rPr>
        <w:t>日内，甲方即支付给乙方</w:t>
      </w:r>
      <w:r>
        <w:rPr>
          <w:rFonts w:ascii="宋体" w:hAnsi="宋体" w:cs="宋体"/>
          <w:sz w:val="24"/>
          <w:szCs w:val="24"/>
          <w:u w:val="single"/>
        </w:rPr>
        <w:t xml:space="preserve"> / </w:t>
      </w:r>
      <w:r>
        <w:rPr>
          <w:rFonts w:hint="eastAsia" w:ascii="宋体" w:hAnsi="宋体" w:cs="宋体"/>
          <w:sz w:val="24"/>
          <w:szCs w:val="24"/>
        </w:rPr>
        <w:t>万元作为定金；乙方提交正式《不动产估价报告书》三十日内，甲方支付给乙方</w:t>
      </w:r>
      <w:r>
        <w:rPr>
          <w:rFonts w:hint="eastAsia" w:ascii="宋体" w:hAnsi="宋体" w:cs="宋体"/>
          <w:sz w:val="24"/>
          <w:szCs w:val="24"/>
          <w:u w:val="single"/>
        </w:rPr>
        <w:t>2.2</w:t>
      </w:r>
      <w:r>
        <w:rPr>
          <w:rFonts w:ascii="宋体" w:hAnsi="宋体" w:cs="宋体"/>
          <w:sz w:val="24"/>
          <w:szCs w:val="24"/>
          <w:u w:val="single"/>
        </w:rPr>
        <w:t xml:space="preserve"> </w:t>
      </w:r>
      <w:r>
        <w:rPr>
          <w:rFonts w:hint="eastAsia" w:ascii="宋体" w:hAnsi="宋体" w:cs="宋体"/>
          <w:sz w:val="24"/>
          <w:szCs w:val="24"/>
        </w:rPr>
        <w:t>万元（大写人民币贰万贰仟元整）。乙方应在每次收款前提供等额的增值税专用发票。</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3.甲方需向乙方支付的款项中已经包含增值税税款。乙方因本合同项下服务/货物而须支付的其他各项税费（包括但不限于增值税、城市维护建设税、教育费附加及地方教育费附加、印花税、及企业所得税等其他各项税费）应由乙方自行承担，不再向甲方收取。乙方保证合同各项标的对应的税率符合国家规定，且与最终付款时提供的发票税率一致。甲方如需履行代扣代缴义务，甲方将依据国家税收相关法律法规的规定履行代扣代缴义务，最终实际向乙方支付的款项为扣除增值税税款及附加税费后的数额。</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4.除特别说明外，乙方向甲方开具的发票指增值税专用发票，国家规定不能开具增值税专用发票的增值税纳税人，应向税务机关申请代开增值税专用发票。乙方应保证发票真实、合法，各项信息全面、完整。乙方开具的增值税专用发票符合以下情形之一的，甲方有权延迟支付应付款项，并要求乙方重新提供，且甲方不承担任何违约责任：</w:t>
      </w:r>
    </w:p>
    <w:p>
      <w:pPr>
        <w:tabs>
          <w:tab w:val="left" w:pos="720"/>
        </w:tabs>
        <w:spacing w:before="62" w:beforeLines="20" w:after="62" w:afterLines="20" w:line="360" w:lineRule="auto"/>
        <w:rPr>
          <w:rFonts w:ascii="宋体" w:hAnsi="宋体" w:cs="宋体"/>
          <w:sz w:val="24"/>
          <w:szCs w:val="24"/>
        </w:rPr>
      </w:pPr>
      <w:r>
        <w:rPr>
          <w:rFonts w:hint="eastAsia" w:ascii="宋体" w:hAnsi="宋体" w:cs="宋体"/>
          <w:sz w:val="24"/>
          <w:szCs w:val="24"/>
        </w:rPr>
        <w:t xml:space="preserve">    (1)提供作废、无效发票或因违反国家法律法规开具、提供发票的；</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(2)开具发票种类错误，开具发票税率与合同约定不符；</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(3)发票上的信息错误的；</w:t>
      </w:r>
    </w:p>
    <w:p>
      <w:pPr>
        <w:tabs>
          <w:tab w:val="left" w:pos="720"/>
        </w:tabs>
        <w:spacing w:before="62" w:beforeLines="20" w:after="62" w:afterLines="20" w:line="360" w:lineRule="auto"/>
        <w:rPr>
          <w:rFonts w:ascii="宋体" w:hAnsi="宋体" w:cs="宋体"/>
          <w:sz w:val="24"/>
          <w:szCs w:val="24"/>
        </w:rPr>
      </w:pPr>
      <w:r>
        <w:rPr>
          <w:rFonts w:hint="eastAsia" w:ascii="宋体" w:hAnsi="宋体" w:cs="宋体"/>
          <w:sz w:val="24"/>
          <w:szCs w:val="24"/>
        </w:rPr>
        <w:t xml:space="preserve">    (4)因乙方延迟送达、开具错误等原因造成发票认证失败等其他情况；</w:t>
      </w:r>
    </w:p>
    <w:p>
      <w:pPr>
        <w:tabs>
          <w:tab w:val="left" w:pos="720"/>
        </w:tabs>
        <w:spacing w:before="62" w:beforeLines="20" w:after="62" w:afterLines="20" w:line="360" w:lineRule="auto"/>
        <w:rPr>
          <w:rFonts w:ascii="宋体" w:hAnsi="宋体" w:cs="宋体"/>
          <w:sz w:val="24"/>
          <w:szCs w:val="24"/>
        </w:rPr>
      </w:pPr>
      <w:r>
        <w:rPr>
          <w:rFonts w:hint="eastAsia" w:ascii="宋体" w:hAnsi="宋体" w:cs="宋体"/>
          <w:sz w:val="24"/>
          <w:szCs w:val="24"/>
        </w:rPr>
        <w:t xml:space="preserve">如乙方拒绝重新提供或提供的发票仍不符合法律法规和监管规定的要求，甲方有权解除本合同，并要求乙方承担由此对甲方造成的全部损失。 </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5.如果乙方向甲方开具虚假发票，甲方有权拒付合同款项、要求赔偿损失或解除本合同。</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6.因乙方未按合同约定提供增值税专用发票或未及时开具提供增值税专用发票，而造成甲方无法抵扣增值税税额，甲方有权从未支付的合同款项中直接扣除甲方可抵扣税额。</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7.因乙方发票税率与合同约定税率或国家规定的税率不一致，并有损甲方权益的，甲方有权将税额差额从未支付的合同款项中予以直接扣除。</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8.若出现退款的，对于需要进行作废处理或开具红字发票的情况，乙方有义务配合甲方完成相关发票的处理事宜。</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9.乙方向甲方开具增值税发票的时间____________，甲方在收到发票三十日内，完成付款。</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10</w:t>
      </w:r>
      <w:r>
        <w:rPr>
          <w:rFonts w:ascii="宋体" w:hAnsi="宋体" w:cs="宋体"/>
          <w:sz w:val="24"/>
          <w:szCs w:val="24"/>
        </w:rPr>
        <w:t>.</w:t>
      </w:r>
      <w:r>
        <w:rPr>
          <w:rFonts w:hint="eastAsia" w:ascii="宋体" w:hAnsi="宋体" w:cs="宋体"/>
          <w:sz w:val="24"/>
          <w:szCs w:val="24"/>
        </w:rPr>
        <w:t>乙方账号如下：</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户</w:t>
      </w:r>
      <w:r>
        <w:rPr>
          <w:rFonts w:ascii="宋体" w:hAnsi="宋体" w:cs="宋体"/>
          <w:sz w:val="24"/>
          <w:szCs w:val="24"/>
        </w:rPr>
        <w:t xml:space="preserve">    </w:t>
      </w:r>
      <w:r>
        <w:rPr>
          <w:rFonts w:hint="eastAsia" w:ascii="宋体" w:hAnsi="宋体" w:cs="宋体"/>
          <w:sz w:val="24"/>
          <w:szCs w:val="24"/>
        </w:rPr>
        <w:t>名：北京康正宏基房地产评估有限公司</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sz w:val="24"/>
          <w:szCs w:val="24"/>
        </w:rPr>
        <w:t>纳税人识别号：91110106722616974K</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开户银行：交通银行北京和平里支行</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开户账号：</w:t>
      </w:r>
      <w:r>
        <w:rPr>
          <w:rFonts w:ascii="宋体" w:hAnsi="宋体" w:cs="宋体"/>
          <w:sz w:val="24"/>
          <w:szCs w:val="24"/>
        </w:rPr>
        <w:t>110060739012015026873</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行号：交224</w:t>
      </w:r>
    </w:p>
    <w:p>
      <w:pPr>
        <w:tabs>
          <w:tab w:val="left" w:pos="720"/>
        </w:tabs>
        <w:spacing w:before="62" w:beforeLines="20" w:after="62" w:afterLines="20" w:line="360" w:lineRule="auto"/>
        <w:ind w:firstLine="480" w:firstLineChars="200"/>
        <w:rPr>
          <w:rFonts w:ascii="宋体" w:hAnsi="宋体"/>
          <w:sz w:val="24"/>
          <w:szCs w:val="24"/>
        </w:rPr>
      </w:pPr>
      <w:r>
        <w:rPr>
          <w:rFonts w:hint="eastAsia" w:ascii="宋体" w:hAnsi="宋体"/>
          <w:sz w:val="24"/>
          <w:szCs w:val="24"/>
        </w:rPr>
        <w:t>地    址：北京市丰台区芳城园一区16号楼2层2门配套公建01</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sz w:val="24"/>
          <w:szCs w:val="24"/>
        </w:rPr>
        <w:t>电    话：82253558</w:t>
      </w: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八、双方的权利与义务</w:t>
      </w:r>
    </w:p>
    <w:p>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hAnsi="宋体" w:cs="宋体"/>
          <w:sz w:val="24"/>
          <w:szCs w:val="24"/>
        </w:rPr>
        <w:t>（一）</w:t>
      </w:r>
      <w:r>
        <w:rPr>
          <w:rFonts w:ascii="宋体" w:hAnsi="宋体" w:cs="宋体"/>
          <w:sz w:val="24"/>
          <w:szCs w:val="24"/>
        </w:rPr>
        <w:t xml:space="preserve"> </w:t>
      </w:r>
      <w:r>
        <w:rPr>
          <w:rFonts w:hint="eastAsia" w:ascii="宋体" w:hAnsi="宋体" w:cs="宋体"/>
          <w:sz w:val="24"/>
          <w:szCs w:val="24"/>
        </w:rPr>
        <w:t>甲方</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1.</w:t>
      </w:r>
      <w:r>
        <w:rPr>
          <w:rFonts w:hint="eastAsia" w:ascii="宋体" w:hAnsi="宋体" w:cs="宋体"/>
          <w:sz w:val="24"/>
          <w:szCs w:val="24"/>
        </w:rPr>
        <w:t>甲方应当对其（包括其指定的不动产权利人、此次经济行为相关方）提供的权属证明、财务会计信息和其他资料的真实性、完整性和合法性负责，按合同约定及时提供。</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2.</w:t>
      </w:r>
      <w:r>
        <w:rPr>
          <w:rFonts w:hint="eastAsia" w:ascii="宋体" w:hAnsi="宋体" w:cs="宋体"/>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3.</w:t>
      </w:r>
      <w:r>
        <w:rPr>
          <w:rFonts w:hint="eastAsia" w:ascii="宋体" w:hAnsi="宋体" w:cs="宋体"/>
          <w:sz w:val="24"/>
          <w:szCs w:val="24"/>
        </w:rPr>
        <w:t>甲方自接到乙方提交的《不动产估价报告书》之日起五个工作日内，如对估价结果产生异议，且理由正当，可书面向乙方提出复估或重估申请。</w:t>
      </w:r>
    </w:p>
    <w:p>
      <w:pPr>
        <w:tabs>
          <w:tab w:val="left" w:pos="720"/>
        </w:tabs>
        <w:spacing w:before="62" w:beforeLines="20" w:after="62" w:afterLines="20" w:line="360" w:lineRule="auto"/>
        <w:ind w:firstLine="480" w:firstLineChars="200"/>
        <w:outlineLvl w:val="0"/>
        <w:rPr>
          <w:rFonts w:ascii="宋体" w:hAnsi="宋体" w:cs="宋体"/>
          <w:sz w:val="24"/>
          <w:szCs w:val="24"/>
        </w:rPr>
      </w:pPr>
      <w:r>
        <w:rPr>
          <w:rFonts w:ascii="宋体" w:hAnsi="宋体" w:cs="宋体"/>
          <w:sz w:val="24"/>
          <w:szCs w:val="24"/>
        </w:rPr>
        <w:t>4.</w:t>
      </w:r>
      <w:r>
        <w:rPr>
          <w:rFonts w:hint="eastAsia" w:ascii="宋体" w:hAnsi="宋体" w:cs="宋体"/>
          <w:sz w:val="24"/>
          <w:szCs w:val="24"/>
        </w:rPr>
        <w:t>甲方不得要求乙方出具虚假评估报告或者有其他非法干预评估结果情形。</w:t>
      </w:r>
    </w:p>
    <w:p>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sz w:val="24"/>
          <w:szCs w:val="24"/>
        </w:rPr>
        <w:t>5. 甲方有义务正确、恰当地使用《不动产估价报告书》。</w:t>
      </w:r>
    </w:p>
    <w:p>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hAnsi="宋体" w:cs="宋体"/>
          <w:sz w:val="24"/>
          <w:szCs w:val="24"/>
        </w:rPr>
        <w:t>（二）</w:t>
      </w:r>
      <w:r>
        <w:rPr>
          <w:rFonts w:ascii="宋体" w:hAnsi="宋体" w:cs="宋体"/>
          <w:sz w:val="24"/>
          <w:szCs w:val="24"/>
        </w:rPr>
        <w:t xml:space="preserve"> </w:t>
      </w:r>
      <w:r>
        <w:rPr>
          <w:rFonts w:hint="eastAsia" w:ascii="宋体" w:hAnsi="宋体" w:cs="宋体"/>
          <w:sz w:val="24"/>
          <w:szCs w:val="24"/>
        </w:rPr>
        <w:t>乙方</w:t>
      </w:r>
      <w:r>
        <w:rPr>
          <w:rFonts w:ascii="宋体"/>
          <w:sz w:val="24"/>
          <w:szCs w:val="24"/>
        </w:rPr>
        <w:tab/>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1.</w:t>
      </w:r>
      <w:r>
        <w:rPr>
          <w:rFonts w:hint="eastAsia" w:ascii="宋体" w:hAnsi="宋体" w:cs="宋体"/>
          <w:sz w:val="24"/>
          <w:szCs w:val="24"/>
        </w:rPr>
        <w:t>乙方有权要求甲方提供与估价对象相关的权属证明、财务会计信息和其他资料，以及为执行公允的评估程序所需的必要协助。</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2.</w:t>
      </w:r>
      <w:r>
        <w:rPr>
          <w:rFonts w:hint="eastAsia" w:ascii="宋体" w:hAnsi="宋体" w:cs="宋体"/>
          <w:sz w:val="24"/>
          <w:szCs w:val="24"/>
        </w:rPr>
        <w:t>乙方应独立、客观、公正从事估价业务；认真执行法律和行政法规，对出具《不动产报告书》承担相应的法律责任。</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3.</w:t>
      </w:r>
      <w:r>
        <w:rPr>
          <w:rFonts w:hint="eastAsia" w:ascii="宋体" w:hAnsi="宋体" w:cs="宋体"/>
          <w:sz w:val="24"/>
          <w:szCs w:val="24"/>
        </w:rPr>
        <w:t>乙方应对收到的甲方所提供的有关估价对象的资料妥善保管并负保密之责，非经甲方同意不得擅自公开或泄露给他人。</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4.</w:t>
      </w:r>
      <w:r>
        <w:rPr>
          <w:rFonts w:hint="eastAsia" w:ascii="宋体" w:hAnsi="宋体" w:cs="宋体"/>
          <w:sz w:val="24"/>
          <w:szCs w:val="24"/>
        </w:rPr>
        <w:t>如适用，乙方应对甲方复估或重估书面申请后十个工作日内完成估价对象的复估或重估报告书，交付甲方。</w:t>
      </w:r>
    </w:p>
    <w:p>
      <w:pPr>
        <w:tabs>
          <w:tab w:val="left" w:pos="720"/>
        </w:tabs>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九、不动产估价报告书的使用者及使用范围</w:t>
      </w:r>
    </w:p>
    <w:p>
      <w:pPr>
        <w:tabs>
          <w:tab w:val="left" w:pos="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乙方履行本合同出具的《不动产估价报告书》的使用者为：甲方及法律法规规定的使用者。</w:t>
      </w:r>
      <w:r>
        <w:rPr>
          <w:rFonts w:ascii="宋体" w:hAnsi="宋体" w:cs="宋体"/>
          <w:sz w:val="24"/>
          <w:szCs w:val="24"/>
        </w:rPr>
        <w:t xml:space="preserve"> </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《不动产估价报告书》仅供甲方及法律法规规定的使用者按本合同约定的估价目的使用，乙方对上述报告使用者不当使用《不动产估价报告书》所造成的后果不承担责任。</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如无法律法规规定，甲方未征得乙方事先书面同意，不得摘抄、引用或者披露《不动产估价报告书》的内容于任何公开媒体之上。</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如无法律法规规定，乙方未经甲方事先书面，不得将《不动产估价报告书》的内容向第三方提供或者公开。</w:t>
      </w: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十、违约责任</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一）甲、乙双方按照《中华人民共和国民法典》、《中华人民共和国资产评估法》的规定承担责任以及相应的违约责任。签约各方因不可抗力无法履行本合同的，宣称发生不可抗力的一方应立即书面通知对方,并在通知后10天内提供此种不可抗力发生及其持续时间的足够证据和不能履行或部分不能履行本协议义务的理由。宣称发生不可抗力的一方应尽一切合理的努力尽量减轻这种不可抗力所带来的影响。由于不可抗力致使一方不能部分或全部履行本协议义务,可以部分或全部免除其违约责任。</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（二）发生下列情形的，甲乙双方承担各自责任：</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甲方如未按上述条款规定的日期向乙方提供具备真实性、完整性和合法性要求的估价所必需资料，甲方应承担相应的法律责任，乙方可按甲方耽误的时间顺延《不动产估价报告书》的交付时间。</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甲方单方终止本合同，如乙方工作已经过半，甲方应向乙方支付全部估价服务费；乙方工作尚未过半，甲方应向乙方支付全部估价服务费的</w:t>
      </w:r>
      <w:r>
        <w:rPr>
          <w:rFonts w:ascii="宋体" w:hAnsi="宋体" w:cs="宋体"/>
          <w:sz w:val="24"/>
          <w:szCs w:val="24"/>
        </w:rPr>
        <w:t>50%</w:t>
      </w:r>
      <w:r>
        <w:rPr>
          <w:rFonts w:hint="eastAsia" w:ascii="宋体" w:hAnsi="宋体" w:cs="宋体"/>
          <w:sz w:val="24"/>
          <w:szCs w:val="24"/>
        </w:rPr>
        <w:t>，或定金不予退还，上述两者之中取其高者。</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3.甲方如未按上述条款规定的时间向乙方支付估价服务费，以甲方应付款项为基数，从逾期之日起，每逾期一日，甲方向乙方支付应付款项的万分之六作为违约金。</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4.乙方如无正当理由，逾期交付《不动产估价报告书》，每逾期一日，乙方向甲方支付估价服务费的万分之六作为违约金。</w:t>
      </w: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十一、保密条款</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sz w:val="24"/>
          <w:szCs w:val="24"/>
        </w:rPr>
        <w:t>本合同内容以及合同履行过程中的任何信息，甲乙双方及双方参与的人员应严格保密；未经对方书面同意，不得向任何第三方透露，法律法规要求披露的除外。</w:t>
      </w: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十二、合同的变更、中止、解除</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本合同履行过程中，如发生《中华人民共和国民法典》、《中华人民共和国资产评估法》中允许变更或解除合同的情况，双方应依法或依约定变更或解除合同。</w:t>
      </w:r>
    </w:p>
    <w:p>
      <w:pPr>
        <w:pStyle w:val="3"/>
        <w:snapToGrid w:val="0"/>
        <w:spacing w:before="62" w:beforeLines="20" w:after="62" w:afterLines="20"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Pr>
          <w:rFonts w:ascii="宋体" w:hAnsi="宋体" w:eastAsia="宋体" w:cs="宋体"/>
          <w:sz w:val="24"/>
          <w:szCs w:val="24"/>
        </w:rPr>
        <w:t xml:space="preserve">   </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本合同签订后，估价目的、估价对象、价值时点发生变化，或者估价范围发生重大变化，甲、乙双方应签订补充合同或者重新签订合同。</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当估价程序所受限制对与估价目的相对应的估价结论构成重大影响时，乙方可以中止履行合同；相关限制无法排除时，乙方可以解除合同。</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合同解除后，乙方根据已完成的工作量与甲方协商确定应收取或者退回的评估服务费。</w:t>
      </w: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十三、争议的解决</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凡因本合同或与本合同有关的一切争议，甲、乙双方应友好协商解决；协商不成的，任何一方均有权向自己住所地人民法院提起诉讼，接受第一立案法院管辖。</w:t>
      </w:r>
    </w:p>
    <w:p>
      <w:pPr>
        <w:tabs>
          <w:tab w:val="left" w:pos="720"/>
          <w:tab w:val="left" w:pos="5595"/>
        </w:tabs>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十四、合同有效期限</w:t>
      </w:r>
      <w:r>
        <w:rPr>
          <w:rFonts w:ascii="宋体"/>
          <w:b/>
          <w:bCs/>
          <w:sz w:val="24"/>
          <w:szCs w:val="24"/>
        </w:rPr>
        <w:tab/>
      </w:r>
    </w:p>
    <w:p>
      <w:pPr>
        <w:tabs>
          <w:tab w:val="left" w:pos="720"/>
        </w:tabs>
        <w:spacing w:before="62" w:beforeLines="20" w:after="62" w:afterLines="20" w:line="400" w:lineRule="exact"/>
        <w:ind w:firstLine="480" w:firstLineChars="200"/>
        <w:rPr>
          <w:rFonts w:ascii="宋体"/>
          <w:sz w:val="24"/>
          <w:szCs w:val="24"/>
        </w:rPr>
      </w:pPr>
      <w:r>
        <w:rPr>
          <w:rFonts w:hint="eastAsia" w:ascii="宋体" w:hAnsi="宋体" w:cs="宋体"/>
          <w:sz w:val="24"/>
          <w:szCs w:val="24"/>
        </w:rPr>
        <w:t>本合同经甲、乙双方签章后生效，约定事项全部完成后终止。</w:t>
      </w:r>
    </w:p>
    <w:p>
      <w:pPr>
        <w:tabs>
          <w:tab w:val="left" w:pos="720"/>
        </w:tabs>
        <w:spacing w:before="62" w:beforeLines="20" w:after="62" w:afterLines="20" w:line="400" w:lineRule="exact"/>
        <w:ind w:firstLine="482" w:firstLineChars="200"/>
        <w:rPr>
          <w:rFonts w:ascii="宋体"/>
          <w:sz w:val="24"/>
          <w:szCs w:val="24"/>
          <w:u w:val="single"/>
        </w:rPr>
      </w:pPr>
      <w:bookmarkStart w:id="0" w:name="_GoBack"/>
      <w:bookmarkEnd w:id="0"/>
      <w:r>
        <w:rPr>
          <w:rFonts w:hint="eastAsia" w:ascii="宋体" w:hAnsi="宋体" w:cs="宋体"/>
          <w:b/>
          <w:bCs/>
          <w:sz w:val="24"/>
          <w:szCs w:val="24"/>
        </w:rPr>
        <w:t>十五、对其他有关事项的约定</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本合同一式</w:t>
      </w:r>
      <w:r>
        <w:rPr>
          <w:rFonts w:ascii="宋体" w:hAnsi="宋体" w:cs="宋体"/>
          <w:sz w:val="24"/>
          <w:szCs w:val="24"/>
          <w:u w:val="single"/>
        </w:rPr>
        <w:t xml:space="preserve"> 2 </w:t>
      </w:r>
      <w:r>
        <w:rPr>
          <w:rFonts w:hint="eastAsia" w:ascii="宋体" w:hAnsi="宋体" w:cs="宋体"/>
          <w:sz w:val="24"/>
          <w:szCs w:val="24"/>
        </w:rPr>
        <w:t>份，甲方持</w:t>
      </w:r>
      <w:r>
        <w:rPr>
          <w:rFonts w:ascii="宋体" w:hAnsi="宋体" w:cs="宋体"/>
          <w:sz w:val="24"/>
          <w:szCs w:val="24"/>
          <w:u w:val="single"/>
        </w:rPr>
        <w:t xml:space="preserve"> 1 </w:t>
      </w:r>
      <w:r>
        <w:rPr>
          <w:rFonts w:hint="eastAsia" w:ascii="宋体" w:hAnsi="宋体" w:cs="宋体"/>
          <w:sz w:val="24"/>
          <w:szCs w:val="24"/>
        </w:rPr>
        <w:t>份，乙方持</w:t>
      </w:r>
      <w:r>
        <w:rPr>
          <w:rFonts w:ascii="宋体" w:hAnsi="宋体" w:cs="宋体"/>
          <w:sz w:val="24"/>
          <w:szCs w:val="24"/>
          <w:u w:val="single"/>
        </w:rPr>
        <w:t xml:space="preserve"> 1 </w:t>
      </w:r>
      <w:r>
        <w:rPr>
          <w:rFonts w:hint="eastAsia" w:ascii="宋体" w:hAnsi="宋体" w:cs="宋体"/>
          <w:sz w:val="24"/>
          <w:szCs w:val="24"/>
        </w:rPr>
        <w:t>份。</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未尽事宜，由甲乙双方协商解决。可增订补充合同，补充合同与前所述条款发生冲突时，以补充合同为准。</w:t>
      </w:r>
    </w:p>
    <w:p>
      <w:pPr>
        <w:ind w:right="105" w:firstLine="496"/>
        <w:rPr>
          <w:sz w:val="24"/>
          <w:szCs w:val="24"/>
        </w:rPr>
      </w:pPr>
    </w:p>
    <w:p>
      <w:pPr>
        <w:ind w:right="105" w:firstLine="496"/>
        <w:rPr>
          <w:sz w:val="24"/>
          <w:szCs w:val="24"/>
        </w:rPr>
      </w:pPr>
    </w:p>
    <w:p>
      <w:pPr>
        <w:ind w:right="105" w:firstLine="496"/>
        <w:rPr>
          <w:sz w:val="24"/>
          <w:szCs w:val="24"/>
        </w:rPr>
      </w:pPr>
    </w:p>
    <w:p>
      <w:pPr>
        <w:spacing w:line="480" w:lineRule="auto"/>
        <w:ind w:right="108" w:firstLine="493"/>
        <w:rPr>
          <w:sz w:val="24"/>
          <w:szCs w:val="24"/>
        </w:rPr>
      </w:pPr>
      <w:r>
        <w:rPr>
          <w:rFonts w:hint="eastAsia" w:cs="宋体"/>
          <w:sz w:val="24"/>
          <w:szCs w:val="24"/>
        </w:rPr>
        <w:t>甲方</w:t>
      </w:r>
      <w:r>
        <w:rPr>
          <w:sz w:val="24"/>
          <w:szCs w:val="24"/>
        </w:rPr>
        <w:t>(</w:t>
      </w:r>
      <w:r>
        <w:rPr>
          <w:rFonts w:hint="eastAsia" w:cs="宋体"/>
          <w:sz w:val="24"/>
          <w:szCs w:val="24"/>
        </w:rPr>
        <w:t>盖章</w:t>
      </w:r>
      <w:r>
        <w:rPr>
          <w:sz w:val="24"/>
          <w:szCs w:val="24"/>
        </w:rPr>
        <w:t xml:space="preserve">) </w:t>
      </w:r>
      <w:r>
        <w:rPr>
          <w:rFonts w:hint="eastAsia" w:cs="宋体"/>
          <w:sz w:val="24"/>
          <w:szCs w:val="24"/>
        </w:rPr>
        <w:t>：</w:t>
      </w:r>
      <w:r>
        <w:rPr>
          <w:sz w:val="24"/>
          <w:szCs w:val="24"/>
        </w:rPr>
        <w:t xml:space="preserve">                     </w:t>
      </w:r>
    </w:p>
    <w:p>
      <w:pPr>
        <w:spacing w:line="480" w:lineRule="auto"/>
        <w:ind w:right="108" w:firstLine="493"/>
        <w:rPr>
          <w:sz w:val="24"/>
          <w:szCs w:val="24"/>
        </w:rPr>
      </w:pPr>
      <w:r>
        <w:rPr>
          <w:rFonts w:hint="eastAsia" w:cs="宋体"/>
          <w:sz w:val="24"/>
          <w:szCs w:val="24"/>
        </w:rPr>
        <w:t>法定代表人或授权代理人</w:t>
      </w:r>
      <w:r>
        <w:rPr>
          <w:sz w:val="24"/>
          <w:szCs w:val="24"/>
        </w:rPr>
        <w:t>(</w:t>
      </w:r>
      <w:r>
        <w:rPr>
          <w:rFonts w:hint="eastAsia" w:cs="宋体"/>
          <w:sz w:val="24"/>
          <w:szCs w:val="24"/>
        </w:rPr>
        <w:t>签字</w:t>
      </w:r>
      <w:r>
        <w:rPr>
          <w:sz w:val="24"/>
          <w:szCs w:val="24"/>
        </w:rPr>
        <w:t xml:space="preserve">) </w:t>
      </w:r>
      <w:r>
        <w:rPr>
          <w:rFonts w:hint="eastAsia" w:cs="宋体"/>
          <w:sz w:val="24"/>
          <w:szCs w:val="24"/>
        </w:rPr>
        <w:t>：</w:t>
      </w:r>
      <w:r>
        <w:rPr>
          <w:sz w:val="24"/>
          <w:szCs w:val="24"/>
        </w:rPr>
        <w:t xml:space="preserve">   </w:t>
      </w:r>
    </w:p>
    <w:p>
      <w:pPr>
        <w:spacing w:line="480" w:lineRule="auto"/>
        <w:ind w:right="108" w:firstLine="493"/>
        <w:rPr>
          <w:sz w:val="24"/>
          <w:szCs w:val="24"/>
        </w:rPr>
      </w:pPr>
      <w:r>
        <w:rPr>
          <w:rFonts w:hint="eastAsia" w:cs="宋体"/>
          <w:sz w:val="24"/>
          <w:szCs w:val="24"/>
        </w:rPr>
        <w:t>联系地址：</w:t>
      </w:r>
      <w:r>
        <w:rPr>
          <w:sz w:val="24"/>
          <w:szCs w:val="24"/>
        </w:rPr>
        <w:t xml:space="preserve">                      </w:t>
      </w:r>
    </w:p>
    <w:p>
      <w:pPr>
        <w:spacing w:line="480" w:lineRule="auto"/>
        <w:ind w:right="108" w:firstLine="493"/>
        <w:rPr>
          <w:sz w:val="24"/>
          <w:szCs w:val="24"/>
        </w:rPr>
      </w:pPr>
      <w:r>
        <w:rPr>
          <w:rFonts w:hint="eastAsia" w:cs="宋体"/>
          <w:sz w:val="24"/>
          <w:szCs w:val="24"/>
        </w:rPr>
        <w:t>电话：</w:t>
      </w:r>
      <w:r>
        <w:rPr>
          <w:sz w:val="24"/>
          <w:szCs w:val="24"/>
        </w:rPr>
        <w:t xml:space="preserve">                          </w:t>
      </w:r>
    </w:p>
    <w:p>
      <w:pPr>
        <w:spacing w:line="480" w:lineRule="auto"/>
        <w:ind w:right="108" w:firstLine="493"/>
        <w:rPr>
          <w:sz w:val="24"/>
          <w:szCs w:val="24"/>
        </w:rPr>
      </w:pPr>
      <w:r>
        <w:rPr>
          <w:sz w:val="24"/>
          <w:szCs w:val="24"/>
        </w:rPr>
        <w:t xml:space="preserve">       </w:t>
      </w:r>
      <w:r>
        <w:rPr>
          <w:rFonts w:hint="eastAsia" w:cs="宋体"/>
          <w:sz w:val="24"/>
          <w:szCs w:val="24"/>
        </w:rPr>
        <w:t>年</w:t>
      </w:r>
      <w:r>
        <w:rPr>
          <w:sz w:val="24"/>
          <w:szCs w:val="24"/>
        </w:rPr>
        <w:t xml:space="preserve">   </w:t>
      </w:r>
      <w:r>
        <w:rPr>
          <w:rFonts w:hint="eastAsia" w:cs="宋体"/>
          <w:sz w:val="24"/>
          <w:szCs w:val="24"/>
        </w:rPr>
        <w:t>月</w:t>
      </w:r>
      <w:r>
        <w:rPr>
          <w:sz w:val="24"/>
          <w:szCs w:val="24"/>
        </w:rPr>
        <w:t xml:space="preserve">   </w:t>
      </w:r>
      <w:r>
        <w:rPr>
          <w:rFonts w:hint="eastAsia" w:cs="宋体"/>
          <w:sz w:val="24"/>
          <w:szCs w:val="24"/>
        </w:rPr>
        <w:t>日</w:t>
      </w:r>
      <w:r>
        <w:rPr>
          <w:sz w:val="24"/>
          <w:szCs w:val="24"/>
        </w:rPr>
        <w:t xml:space="preserve">   </w:t>
      </w:r>
    </w:p>
    <w:p>
      <w:pPr>
        <w:spacing w:line="480" w:lineRule="auto"/>
        <w:ind w:right="108" w:firstLine="493"/>
        <w:rPr>
          <w:sz w:val="24"/>
          <w:szCs w:val="24"/>
        </w:rPr>
      </w:pPr>
    </w:p>
    <w:p>
      <w:pPr>
        <w:spacing w:line="480" w:lineRule="auto"/>
        <w:ind w:right="108" w:firstLine="493"/>
        <w:rPr>
          <w:sz w:val="24"/>
          <w:szCs w:val="24"/>
        </w:rPr>
      </w:pPr>
      <w:r>
        <w:rPr>
          <w:rFonts w:hint="eastAsia" w:cs="宋体"/>
          <w:sz w:val="24"/>
          <w:szCs w:val="24"/>
        </w:rPr>
        <w:t>乙方</w:t>
      </w:r>
      <w:r>
        <w:rPr>
          <w:sz w:val="24"/>
          <w:szCs w:val="24"/>
        </w:rPr>
        <w:t>(</w:t>
      </w:r>
      <w:r>
        <w:rPr>
          <w:rFonts w:hint="eastAsia" w:cs="宋体"/>
          <w:sz w:val="24"/>
          <w:szCs w:val="24"/>
        </w:rPr>
        <w:t>盖章</w:t>
      </w:r>
      <w:r>
        <w:rPr>
          <w:sz w:val="24"/>
          <w:szCs w:val="24"/>
        </w:rPr>
        <w:t xml:space="preserve">) </w:t>
      </w:r>
      <w:r>
        <w:rPr>
          <w:rFonts w:hint="eastAsia" w:cs="宋体"/>
          <w:sz w:val="24"/>
          <w:szCs w:val="24"/>
        </w:rPr>
        <w:t>：</w:t>
      </w:r>
    </w:p>
    <w:p>
      <w:pPr>
        <w:spacing w:line="480" w:lineRule="auto"/>
        <w:ind w:right="108" w:firstLine="493"/>
        <w:rPr>
          <w:sz w:val="24"/>
          <w:szCs w:val="24"/>
        </w:rPr>
      </w:pPr>
      <w:r>
        <w:rPr>
          <w:rFonts w:hint="eastAsia" w:cs="宋体"/>
          <w:sz w:val="24"/>
          <w:szCs w:val="24"/>
        </w:rPr>
        <w:t>法定代表人或授权代理人</w:t>
      </w:r>
      <w:r>
        <w:rPr>
          <w:sz w:val="24"/>
          <w:szCs w:val="24"/>
        </w:rPr>
        <w:t>(</w:t>
      </w:r>
      <w:r>
        <w:rPr>
          <w:rFonts w:hint="eastAsia" w:cs="宋体"/>
          <w:sz w:val="24"/>
          <w:szCs w:val="24"/>
        </w:rPr>
        <w:t>签字</w:t>
      </w:r>
      <w:r>
        <w:rPr>
          <w:sz w:val="24"/>
          <w:szCs w:val="24"/>
        </w:rPr>
        <w:t xml:space="preserve">) </w:t>
      </w:r>
      <w:r>
        <w:rPr>
          <w:rFonts w:hint="eastAsia" w:cs="宋体"/>
          <w:sz w:val="24"/>
          <w:szCs w:val="24"/>
        </w:rPr>
        <w:t>：</w:t>
      </w:r>
    </w:p>
    <w:p>
      <w:pPr>
        <w:spacing w:line="480" w:lineRule="auto"/>
        <w:ind w:right="108" w:firstLine="493"/>
        <w:rPr>
          <w:sz w:val="24"/>
          <w:szCs w:val="24"/>
        </w:rPr>
      </w:pPr>
      <w:r>
        <w:rPr>
          <w:rFonts w:hint="eastAsia" w:cs="宋体"/>
          <w:sz w:val="24"/>
          <w:szCs w:val="24"/>
        </w:rPr>
        <w:t>联系地址：</w:t>
      </w:r>
    </w:p>
    <w:p>
      <w:pPr>
        <w:spacing w:line="480" w:lineRule="auto"/>
        <w:ind w:right="108" w:firstLine="493"/>
        <w:rPr>
          <w:sz w:val="24"/>
          <w:szCs w:val="24"/>
        </w:rPr>
      </w:pPr>
      <w:r>
        <w:rPr>
          <w:rFonts w:hint="eastAsia" w:cs="宋体"/>
          <w:sz w:val="24"/>
          <w:szCs w:val="24"/>
        </w:rPr>
        <w:t>电话：</w:t>
      </w:r>
    </w:p>
    <w:p>
      <w:pPr>
        <w:spacing w:line="480" w:lineRule="auto"/>
        <w:ind w:right="108" w:firstLine="493"/>
        <w:rPr>
          <w:sz w:val="24"/>
          <w:szCs w:val="24"/>
        </w:rPr>
      </w:pPr>
      <w:r>
        <w:rPr>
          <w:sz w:val="24"/>
          <w:szCs w:val="24"/>
        </w:rPr>
        <w:t xml:space="preserve">       </w:t>
      </w:r>
      <w:r>
        <w:rPr>
          <w:rFonts w:hint="eastAsia" w:cs="宋体"/>
          <w:sz w:val="24"/>
          <w:szCs w:val="24"/>
        </w:rPr>
        <w:t>年</w:t>
      </w:r>
      <w:r>
        <w:rPr>
          <w:sz w:val="24"/>
          <w:szCs w:val="24"/>
        </w:rPr>
        <w:t xml:space="preserve">   </w:t>
      </w:r>
      <w:r>
        <w:rPr>
          <w:rFonts w:hint="eastAsia" w:cs="宋体"/>
          <w:sz w:val="24"/>
          <w:szCs w:val="24"/>
        </w:rPr>
        <w:t>月</w:t>
      </w:r>
      <w:r>
        <w:rPr>
          <w:sz w:val="24"/>
          <w:szCs w:val="24"/>
        </w:rPr>
        <w:t xml:space="preserve">   </w:t>
      </w:r>
      <w:r>
        <w:rPr>
          <w:rFonts w:hint="eastAsia" w:cs="宋体"/>
          <w:sz w:val="24"/>
          <w:szCs w:val="24"/>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lang w:val="zh-CN"/>
      </w:rPr>
      <w:t xml:space="preserve"> </w:t>
    </w:r>
    <w:r>
      <w:rPr>
        <w:b/>
        <w:bCs/>
      </w:rPr>
      <w:fldChar w:fldCharType="begin"/>
    </w:r>
    <w:r>
      <w:rPr>
        <w:b/>
        <w:bCs/>
      </w:rPr>
      <w:instrText xml:space="preserve">PAGE</w:instrText>
    </w:r>
    <w:r>
      <w:rPr>
        <w:b/>
        <w:bCs/>
      </w:rPr>
      <w:fldChar w:fldCharType="separate"/>
    </w:r>
    <w:r>
      <w:rPr>
        <w:b/>
        <w:bCs/>
      </w:rPr>
      <w:t>5</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7</w:t>
    </w:r>
    <w:r>
      <w:rPr>
        <w:b/>
        <w:bCs/>
      </w:rP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3MWRlMTNhMWZmMGRhZWM5MjgzZjZmNDg0ODRlMTkifQ=="/>
  </w:docVars>
  <w:rsids>
    <w:rsidRoot w:val="001570D8"/>
    <w:rsid w:val="00031004"/>
    <w:rsid w:val="000366A2"/>
    <w:rsid w:val="0009219B"/>
    <w:rsid w:val="00095788"/>
    <w:rsid w:val="000A1092"/>
    <w:rsid w:val="00116144"/>
    <w:rsid w:val="0013379B"/>
    <w:rsid w:val="001570D8"/>
    <w:rsid w:val="00161656"/>
    <w:rsid w:val="001E3BE6"/>
    <w:rsid w:val="001E3C50"/>
    <w:rsid w:val="001F06B8"/>
    <w:rsid w:val="002C32D3"/>
    <w:rsid w:val="002E52E4"/>
    <w:rsid w:val="003C4C14"/>
    <w:rsid w:val="003F025D"/>
    <w:rsid w:val="003F0F85"/>
    <w:rsid w:val="003F2A53"/>
    <w:rsid w:val="00427355"/>
    <w:rsid w:val="00447328"/>
    <w:rsid w:val="00463A0A"/>
    <w:rsid w:val="004839FA"/>
    <w:rsid w:val="004E5FFC"/>
    <w:rsid w:val="00534F27"/>
    <w:rsid w:val="00543A6A"/>
    <w:rsid w:val="005500BE"/>
    <w:rsid w:val="0057646B"/>
    <w:rsid w:val="00594DD6"/>
    <w:rsid w:val="005A0132"/>
    <w:rsid w:val="005B6011"/>
    <w:rsid w:val="005E2C87"/>
    <w:rsid w:val="006926F5"/>
    <w:rsid w:val="006A6E4B"/>
    <w:rsid w:val="00781AB2"/>
    <w:rsid w:val="007A2139"/>
    <w:rsid w:val="007D0891"/>
    <w:rsid w:val="007D2EC2"/>
    <w:rsid w:val="00834F20"/>
    <w:rsid w:val="008B00A9"/>
    <w:rsid w:val="008D4FDE"/>
    <w:rsid w:val="008E11D1"/>
    <w:rsid w:val="009117F5"/>
    <w:rsid w:val="00A22AF2"/>
    <w:rsid w:val="00A500BC"/>
    <w:rsid w:val="00A70DF1"/>
    <w:rsid w:val="00A7312D"/>
    <w:rsid w:val="00B21F76"/>
    <w:rsid w:val="00B656EF"/>
    <w:rsid w:val="00B7192D"/>
    <w:rsid w:val="00C13A31"/>
    <w:rsid w:val="00C21946"/>
    <w:rsid w:val="00C30D76"/>
    <w:rsid w:val="00C84E2D"/>
    <w:rsid w:val="00CB09B2"/>
    <w:rsid w:val="00D818CD"/>
    <w:rsid w:val="00DD03DA"/>
    <w:rsid w:val="00E3211C"/>
    <w:rsid w:val="00E47546"/>
    <w:rsid w:val="00EB48DF"/>
    <w:rsid w:val="00EC0CFD"/>
    <w:rsid w:val="00F3596D"/>
    <w:rsid w:val="00FC4782"/>
    <w:rsid w:val="00FD0271"/>
    <w:rsid w:val="00FE49CB"/>
    <w:rsid w:val="00FF584C"/>
    <w:rsid w:val="033331CC"/>
    <w:rsid w:val="0A1C36DE"/>
    <w:rsid w:val="101524A2"/>
    <w:rsid w:val="13545F85"/>
    <w:rsid w:val="20E606BF"/>
    <w:rsid w:val="235E0D30"/>
    <w:rsid w:val="28B25630"/>
    <w:rsid w:val="2F1942B0"/>
    <w:rsid w:val="2FE51242"/>
    <w:rsid w:val="354C49A0"/>
    <w:rsid w:val="3BD37D68"/>
    <w:rsid w:val="459875BB"/>
    <w:rsid w:val="48AF1AF1"/>
    <w:rsid w:val="525235F2"/>
    <w:rsid w:val="537865A5"/>
    <w:rsid w:val="539A7AF1"/>
    <w:rsid w:val="53A22F37"/>
    <w:rsid w:val="54BF1E33"/>
    <w:rsid w:val="55B869F6"/>
    <w:rsid w:val="5EF02508"/>
    <w:rsid w:val="5FA54D3D"/>
    <w:rsid w:val="71D368B4"/>
    <w:rsid w:val="77E66537"/>
    <w:rsid w:val="79B3677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7"/>
    <w:qFormat/>
    <w:uiPriority w:val="99"/>
    <w:pPr>
      <w:keepNext/>
      <w:keepLines/>
      <w:widowControl/>
      <w:spacing w:before="340" w:after="330" w:line="578" w:lineRule="auto"/>
      <w:ind w:right="50" w:rightChars="50" w:firstLine="236" w:firstLineChars="236"/>
      <w:outlineLvl w:val="0"/>
    </w:pPr>
    <w:rPr>
      <w:rFonts w:ascii="Calibri" w:hAnsi="Calibri" w:cs="Calibri"/>
      <w:b/>
      <w:bCs/>
      <w:kern w:val="44"/>
      <w:sz w:val="44"/>
      <w:szCs w:val="44"/>
    </w:rPr>
  </w:style>
  <w:style w:type="character" w:default="1" w:styleId="15">
    <w:name w:val="Default Paragraph Font"/>
    <w:autoRedefine/>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3"/>
    <w:semiHidden/>
    <w:qFormat/>
    <w:uiPriority w:val="99"/>
    <w:pPr>
      <w:jc w:val="left"/>
    </w:pPr>
    <w:rPr>
      <w:rFonts w:eastAsia="仿宋_GB2312"/>
      <w:sz w:val="30"/>
      <w:szCs w:val="30"/>
    </w:rPr>
  </w:style>
  <w:style w:type="paragraph" w:styleId="4">
    <w:name w:val="Body Text"/>
    <w:basedOn w:val="1"/>
    <w:link w:val="21"/>
    <w:qFormat/>
    <w:uiPriority w:val="99"/>
    <w:pPr>
      <w:spacing w:before="120" w:after="120" w:line="400" w:lineRule="exact"/>
    </w:pPr>
    <w:rPr>
      <w:rFonts w:eastAsia="仿宋_GB2312"/>
      <w:sz w:val="24"/>
      <w:szCs w:val="24"/>
    </w:rPr>
  </w:style>
  <w:style w:type="paragraph" w:styleId="5">
    <w:name w:val="Body Text Indent"/>
    <w:basedOn w:val="1"/>
    <w:link w:val="20"/>
    <w:qFormat/>
    <w:uiPriority w:val="99"/>
    <w:pPr>
      <w:tabs>
        <w:tab w:val="left" w:pos="720"/>
      </w:tabs>
      <w:spacing w:before="120" w:after="120" w:line="400" w:lineRule="exact"/>
      <w:ind w:left="360"/>
    </w:pPr>
    <w:rPr>
      <w:rFonts w:eastAsia="仿宋_GB2312"/>
      <w:sz w:val="24"/>
      <w:szCs w:val="24"/>
    </w:rPr>
  </w:style>
  <w:style w:type="paragraph" w:styleId="6">
    <w:name w:val="toc 3"/>
    <w:basedOn w:val="1"/>
    <w:next w:val="1"/>
    <w:autoRedefine/>
    <w:semiHidden/>
    <w:qFormat/>
    <w:uiPriority w:val="99"/>
    <w:pPr>
      <w:widowControl/>
      <w:spacing w:after="100" w:line="276" w:lineRule="auto"/>
      <w:ind w:left="440"/>
      <w:jc w:val="left"/>
    </w:pPr>
    <w:rPr>
      <w:rFonts w:ascii="Calibri" w:hAnsi="Calibri" w:cs="Calibri"/>
      <w:kern w:val="0"/>
      <w:sz w:val="22"/>
      <w:szCs w:val="22"/>
    </w:rPr>
  </w:style>
  <w:style w:type="paragraph" w:styleId="7">
    <w:name w:val="Balloon Text"/>
    <w:basedOn w:val="1"/>
    <w:link w:val="27"/>
    <w:semiHidden/>
    <w:unhideWhenUsed/>
    <w:qFormat/>
    <w:uiPriority w:val="99"/>
    <w:rPr>
      <w:sz w:val="18"/>
      <w:szCs w:val="18"/>
    </w:rPr>
  </w:style>
  <w:style w:type="paragraph" w:styleId="8">
    <w:name w:val="footer"/>
    <w:basedOn w:val="1"/>
    <w:link w:val="25"/>
    <w:qFormat/>
    <w:uiPriority w:val="99"/>
    <w:pPr>
      <w:tabs>
        <w:tab w:val="center" w:pos="4153"/>
        <w:tab w:val="right" w:pos="8306"/>
      </w:tabs>
      <w:snapToGrid w:val="0"/>
      <w:jc w:val="left"/>
    </w:pPr>
    <w:rPr>
      <w:sz w:val="18"/>
      <w:szCs w:val="18"/>
    </w:rPr>
  </w:style>
  <w:style w:type="paragraph" w:styleId="9">
    <w:name w:val="header"/>
    <w:basedOn w:val="1"/>
    <w:link w:val="24"/>
    <w:semiHidden/>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qFormat/>
    <w:uiPriority w:val="99"/>
    <w:pPr>
      <w:widowControl/>
      <w:spacing w:after="100" w:line="276" w:lineRule="auto"/>
      <w:jc w:val="left"/>
    </w:pPr>
    <w:rPr>
      <w:rFonts w:ascii="Calibri" w:hAnsi="Calibri" w:cs="Calibri"/>
      <w:kern w:val="0"/>
      <w:sz w:val="22"/>
      <w:szCs w:val="22"/>
    </w:rPr>
  </w:style>
  <w:style w:type="paragraph" w:styleId="11">
    <w:name w:val="toc 2"/>
    <w:basedOn w:val="1"/>
    <w:next w:val="1"/>
    <w:autoRedefine/>
    <w:semiHidden/>
    <w:qFormat/>
    <w:uiPriority w:val="99"/>
    <w:pPr>
      <w:widowControl/>
      <w:spacing w:after="100" w:line="276" w:lineRule="auto"/>
      <w:ind w:left="220"/>
      <w:jc w:val="left"/>
    </w:pPr>
    <w:rPr>
      <w:rFonts w:ascii="Calibri" w:hAnsi="Calibri" w:cs="Calibri"/>
      <w:kern w:val="0"/>
      <w:sz w:val="22"/>
      <w:szCs w:val="22"/>
    </w:rPr>
  </w:style>
  <w:style w:type="paragraph" w:styleId="12">
    <w:name w:val="Body Text 2"/>
    <w:basedOn w:val="1"/>
    <w:link w:val="22"/>
    <w:qFormat/>
    <w:uiPriority w:val="99"/>
    <w:pPr>
      <w:spacing w:before="120" w:after="120" w:line="400" w:lineRule="exact"/>
    </w:pPr>
    <w:rPr>
      <w:rFonts w:ascii="宋体" w:hAnsi="宋体" w:cs="宋体"/>
      <w:b/>
      <w:bCs/>
      <w:sz w:val="24"/>
      <w:szCs w:val="24"/>
    </w:rPr>
  </w:style>
  <w:style w:type="paragraph" w:styleId="13">
    <w:name w:val="annotation subject"/>
    <w:basedOn w:val="3"/>
    <w:next w:val="3"/>
    <w:link w:val="26"/>
    <w:autoRedefine/>
    <w:semiHidden/>
    <w:unhideWhenUsed/>
    <w:qFormat/>
    <w:uiPriority w:val="99"/>
    <w:rPr>
      <w:rFonts w:eastAsia="宋体"/>
      <w:b/>
      <w:bCs/>
      <w:sz w:val="21"/>
      <w:szCs w:val="21"/>
    </w:rPr>
  </w:style>
  <w:style w:type="character" w:styleId="16">
    <w:name w:val="annotation reference"/>
    <w:semiHidden/>
    <w:unhideWhenUsed/>
    <w:qFormat/>
    <w:uiPriority w:val="99"/>
    <w:rPr>
      <w:sz w:val="21"/>
      <w:szCs w:val="21"/>
    </w:rPr>
  </w:style>
  <w:style w:type="character" w:customStyle="1" w:styleId="17">
    <w:name w:val="标题 1 Char"/>
    <w:link w:val="2"/>
    <w:qFormat/>
    <w:locked/>
    <w:uiPriority w:val="99"/>
    <w:rPr>
      <w:b/>
      <w:bCs/>
      <w:kern w:val="44"/>
      <w:sz w:val="44"/>
      <w:szCs w:val="44"/>
    </w:rPr>
  </w:style>
  <w:style w:type="paragraph" w:styleId="18">
    <w:name w:val="List Paragraph"/>
    <w:basedOn w:val="1"/>
    <w:qFormat/>
    <w:uiPriority w:val="99"/>
    <w:pPr>
      <w:widowControl/>
      <w:ind w:right="50" w:rightChars="50" w:firstLine="420" w:firstLineChars="200"/>
    </w:pPr>
    <w:rPr>
      <w:rFonts w:ascii="Calibri" w:hAnsi="Calibri" w:cs="Calibri"/>
    </w:rPr>
  </w:style>
  <w:style w:type="paragraph" w:customStyle="1" w:styleId="19">
    <w:name w:val="TOC 标题1"/>
    <w:basedOn w:val="2"/>
    <w:next w:val="1"/>
    <w:qFormat/>
    <w:uiPriority w:val="99"/>
    <w:pPr>
      <w:spacing w:before="480" w:after="0" w:line="276" w:lineRule="auto"/>
      <w:ind w:right="0" w:rightChars="0" w:firstLine="0" w:firstLineChars="0"/>
      <w:jc w:val="left"/>
      <w:outlineLvl w:val="9"/>
    </w:pPr>
    <w:rPr>
      <w:rFonts w:ascii="Cambria" w:hAnsi="Cambria" w:cs="Cambria"/>
      <w:color w:val="365F91"/>
      <w:kern w:val="0"/>
      <w:sz w:val="28"/>
      <w:szCs w:val="28"/>
    </w:rPr>
  </w:style>
  <w:style w:type="character" w:customStyle="1" w:styleId="20">
    <w:name w:val="正文文本缩进 Char"/>
    <w:link w:val="5"/>
    <w:autoRedefine/>
    <w:qFormat/>
    <w:locked/>
    <w:uiPriority w:val="99"/>
    <w:rPr>
      <w:rFonts w:ascii="Times New Roman" w:hAnsi="Times New Roman" w:eastAsia="仿宋_GB2312" w:cs="Times New Roman"/>
      <w:sz w:val="20"/>
      <w:szCs w:val="20"/>
    </w:rPr>
  </w:style>
  <w:style w:type="character" w:customStyle="1" w:styleId="21">
    <w:name w:val="正文文本 Char"/>
    <w:link w:val="4"/>
    <w:qFormat/>
    <w:locked/>
    <w:uiPriority w:val="99"/>
    <w:rPr>
      <w:rFonts w:ascii="Times New Roman" w:hAnsi="Times New Roman" w:eastAsia="仿宋_GB2312" w:cs="Times New Roman"/>
      <w:sz w:val="20"/>
      <w:szCs w:val="20"/>
    </w:rPr>
  </w:style>
  <w:style w:type="character" w:customStyle="1" w:styleId="22">
    <w:name w:val="正文文本 2 Char"/>
    <w:link w:val="12"/>
    <w:qFormat/>
    <w:locked/>
    <w:uiPriority w:val="99"/>
    <w:rPr>
      <w:rFonts w:ascii="宋体" w:hAnsi="宋体" w:eastAsia="宋体" w:cs="宋体"/>
      <w:b/>
      <w:bCs/>
      <w:sz w:val="20"/>
      <w:szCs w:val="20"/>
    </w:rPr>
  </w:style>
  <w:style w:type="character" w:customStyle="1" w:styleId="23">
    <w:name w:val="批注文字 Char"/>
    <w:link w:val="3"/>
    <w:semiHidden/>
    <w:qFormat/>
    <w:locked/>
    <w:uiPriority w:val="99"/>
    <w:rPr>
      <w:rFonts w:ascii="Times New Roman" w:hAnsi="Times New Roman" w:eastAsia="仿宋_GB2312" w:cs="Times New Roman"/>
      <w:sz w:val="30"/>
      <w:szCs w:val="30"/>
    </w:rPr>
  </w:style>
  <w:style w:type="character" w:customStyle="1" w:styleId="24">
    <w:name w:val="页眉 Char"/>
    <w:link w:val="9"/>
    <w:autoRedefine/>
    <w:semiHidden/>
    <w:qFormat/>
    <w:locked/>
    <w:uiPriority w:val="99"/>
    <w:rPr>
      <w:rFonts w:ascii="Times New Roman" w:hAnsi="Times New Roman" w:eastAsia="宋体" w:cs="Times New Roman"/>
      <w:sz w:val="18"/>
      <w:szCs w:val="18"/>
    </w:rPr>
  </w:style>
  <w:style w:type="character" w:customStyle="1" w:styleId="25">
    <w:name w:val="页脚 Char"/>
    <w:link w:val="8"/>
    <w:qFormat/>
    <w:locked/>
    <w:uiPriority w:val="99"/>
    <w:rPr>
      <w:rFonts w:ascii="Times New Roman" w:hAnsi="Times New Roman" w:eastAsia="宋体" w:cs="Times New Roman"/>
      <w:sz w:val="18"/>
      <w:szCs w:val="18"/>
    </w:rPr>
  </w:style>
  <w:style w:type="character" w:customStyle="1" w:styleId="26">
    <w:name w:val="批注主题 Char"/>
    <w:link w:val="13"/>
    <w:semiHidden/>
    <w:qFormat/>
    <w:uiPriority w:val="99"/>
    <w:rPr>
      <w:rFonts w:ascii="Times New Roman" w:hAnsi="Times New Roman" w:eastAsia="仿宋_GB2312" w:cs="Times New Roman"/>
      <w:b/>
      <w:bCs/>
      <w:kern w:val="2"/>
      <w:sz w:val="21"/>
      <w:szCs w:val="21"/>
    </w:rPr>
  </w:style>
  <w:style w:type="character" w:customStyle="1" w:styleId="27">
    <w:name w:val="批注框文本 Char"/>
    <w:link w:val="7"/>
    <w:autoRedefine/>
    <w:semiHidden/>
    <w:qFormat/>
    <w:uiPriority w:val="99"/>
    <w:rPr>
      <w:rFonts w:ascii="Times New Roman" w:hAnsi="Times New Roman"/>
      <w:kern w:val="2"/>
      <w:sz w:val="18"/>
      <w:szCs w:val="18"/>
    </w:rPr>
  </w:style>
  <w:style w:type="paragraph" w:customStyle="1" w:styleId="28">
    <w:name w:val="修订1"/>
    <w:hidden/>
    <w:semiHidden/>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Pages>
  <Words>607</Words>
  <Characters>3465</Characters>
  <Lines>28</Lines>
  <Paragraphs>8</Paragraphs>
  <TotalTime>19</TotalTime>
  <ScaleCrop>false</ScaleCrop>
  <LinksUpToDate>false</LinksUpToDate>
  <CharactersWithSpaces>4064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2021-03-24T07:48:00Z</dcterms:created>
  <dc:creator>topvaluer</dc:creator>
  <cp:lastModifiedBy>徐扬</cp:lastModifiedBy>
  <cp:lastPrinted>2023-02-03T07:24:00Z</cp:lastPrinted>
  <dcterms:modified xsi:type="dcterms:W3CDTF">2024-04-19T10:32:47Z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909FF535D21047519FFD8119DF098ED5_13</vt:lpwstr>
  </property>
</Properties>
</file>